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A6" w:rsidRDefault="004335A6" w:rsidP="004335A6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III</w:t>
      </w:r>
    </w:p>
    <w:p w:rsidR="00CD54B9" w:rsidRPr="00662153" w:rsidRDefault="00EE59A8" w:rsidP="00CD54B9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S.06.03</w:t>
      </w:r>
      <w:r w:rsidR="00CD54B9"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A169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D54B9"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08A2"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Collective investment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undertakings</w:t>
      </w:r>
      <w:r w:rsidR="008A2E61"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D54B9" w:rsidRPr="00662153">
        <w:rPr>
          <w:rFonts w:ascii="Times New Roman" w:hAnsi="Times New Roman" w:cs="Times New Roman"/>
          <w:b/>
          <w:bCs/>
          <w:sz w:val="20"/>
          <w:szCs w:val="20"/>
        </w:rPr>
        <w:t>- look-through approach</w:t>
      </w:r>
      <w:r w:rsidR="006D74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8A2E61" w:rsidRPr="004C3F21" w:rsidRDefault="00CD54B9" w:rsidP="008A2E6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General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comments</w:t>
      </w:r>
      <w:r w:rsidR="008A2E61" w:rsidRPr="004C3F21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8A2E61" w:rsidRPr="00893F85" w:rsidRDefault="008A2E61" w:rsidP="008A2E61">
      <w:pPr>
        <w:jc w:val="both"/>
        <w:rPr>
          <w:rFonts w:ascii="Times New Roman" w:hAnsi="Times New Roman" w:cs="Times New Roman"/>
          <w:sz w:val="20"/>
          <w:szCs w:val="20"/>
        </w:rPr>
      </w:pPr>
      <w:r w:rsidRPr="00662153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D5C47" w:rsidRPr="00662153" w:rsidRDefault="004356C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quarterly and annual submission of information for </w:t>
      </w:r>
      <w:r w:rsidR="00521FE7">
        <w:rPr>
          <w:rFonts w:ascii="Times New Roman" w:hAnsi="Times New Roman" w:cs="Times New Roman"/>
          <w:sz w:val="20"/>
          <w:szCs w:val="20"/>
          <w:lang w:val="en-US"/>
        </w:rPr>
        <w:t>groups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7A1088" w:rsidRDefault="00677C0E">
      <w:pPr>
        <w:jc w:val="both"/>
        <w:rPr>
          <w:rFonts w:ascii="Times New Roman" w:hAnsi="Times New Roman" w:cs="Times New Roman"/>
          <w:sz w:val="20"/>
          <w:szCs w:val="20"/>
        </w:rPr>
      </w:pPr>
      <w:r w:rsidRPr="00662153">
        <w:rPr>
          <w:rFonts w:ascii="Times New Roman" w:hAnsi="Times New Roman" w:cs="Times New Roman"/>
          <w:sz w:val="20"/>
          <w:szCs w:val="20"/>
        </w:rPr>
        <w:t xml:space="preserve">This template contains information on </w:t>
      </w:r>
      <w:r w:rsidR="00CA1C89" w:rsidRPr="00893F85">
        <w:rPr>
          <w:rFonts w:ascii="Times New Roman" w:hAnsi="Times New Roman" w:cs="Times New Roman"/>
          <w:sz w:val="20"/>
          <w:szCs w:val="20"/>
        </w:rPr>
        <w:t>the look through of c</w:t>
      </w:r>
      <w:r w:rsidRPr="00662153">
        <w:rPr>
          <w:rFonts w:ascii="Times New Roman" w:hAnsi="Times New Roman" w:cs="Times New Roman"/>
          <w:sz w:val="20"/>
          <w:szCs w:val="20"/>
        </w:rPr>
        <w:t xml:space="preserve">ollective investment </w:t>
      </w:r>
      <w:r w:rsidR="00CA1C89" w:rsidRPr="00893F85">
        <w:rPr>
          <w:rFonts w:ascii="Times New Roman" w:hAnsi="Times New Roman" w:cs="Times New Roman"/>
          <w:sz w:val="20"/>
          <w:szCs w:val="20"/>
        </w:rPr>
        <w:t>undertakings</w:t>
      </w:r>
      <w:r w:rsidR="004335A6">
        <w:rPr>
          <w:rFonts w:ascii="Times New Roman" w:hAnsi="Times New Roman" w:cs="Times New Roman"/>
          <w:sz w:val="20"/>
          <w:szCs w:val="20"/>
        </w:rPr>
        <w:t>,</w:t>
      </w:r>
      <w:r w:rsidR="00322EE6" w:rsidRPr="00322EE6">
        <w:rPr>
          <w:rFonts w:ascii="Times New Roman" w:hAnsi="Times New Roman" w:cs="Times New Roman"/>
          <w:sz w:val="20"/>
          <w:szCs w:val="20"/>
        </w:rPr>
        <w:t xml:space="preserve"> </w:t>
      </w:r>
      <w:r w:rsidR="00322EE6" w:rsidRPr="00DF71A5">
        <w:rPr>
          <w:rFonts w:ascii="Times New Roman" w:hAnsi="Times New Roman" w:cs="Times New Roman"/>
          <w:sz w:val="20"/>
          <w:szCs w:val="20"/>
        </w:rPr>
        <w:t>or investments packaged as funds</w:t>
      </w:r>
      <w:r w:rsidR="00322EE6">
        <w:rPr>
          <w:rFonts w:ascii="Times New Roman" w:hAnsi="Times New Roman" w:cs="Times New Roman"/>
          <w:sz w:val="20"/>
          <w:szCs w:val="20"/>
        </w:rPr>
        <w:t xml:space="preserve"> and similar undertakings, </w:t>
      </w:r>
      <w:r w:rsidR="00A81E21">
        <w:rPr>
          <w:rFonts w:ascii="Times New Roman" w:hAnsi="Times New Roman" w:cs="Times New Roman"/>
          <w:sz w:val="20"/>
          <w:szCs w:val="20"/>
        </w:rPr>
        <w:t>including when they are participations</w:t>
      </w:r>
      <w:r w:rsidR="00CA1C89" w:rsidRPr="00893F85">
        <w:rPr>
          <w:rFonts w:ascii="Times New Roman" w:hAnsi="Times New Roman" w:cs="Times New Roman"/>
          <w:sz w:val="20"/>
          <w:szCs w:val="20"/>
        </w:rPr>
        <w:t xml:space="preserve"> </w:t>
      </w:r>
      <w:r w:rsidRPr="00662153">
        <w:rPr>
          <w:rFonts w:ascii="Times New Roman" w:hAnsi="Times New Roman" w:cs="Times New Roman"/>
          <w:sz w:val="20"/>
          <w:szCs w:val="20"/>
        </w:rPr>
        <w:t xml:space="preserve">by underlying asset category, </w:t>
      </w:r>
      <w:r w:rsidR="00AA23C0">
        <w:rPr>
          <w:rFonts w:ascii="Times New Roman" w:hAnsi="Times New Roman" w:cs="Times New Roman"/>
          <w:sz w:val="20"/>
          <w:szCs w:val="20"/>
        </w:rPr>
        <w:t>country</w:t>
      </w:r>
      <w:r w:rsidRPr="00662153">
        <w:rPr>
          <w:rFonts w:ascii="Times New Roman" w:hAnsi="Times New Roman" w:cs="Times New Roman"/>
          <w:sz w:val="20"/>
          <w:szCs w:val="20"/>
        </w:rPr>
        <w:t xml:space="preserve"> of issue and currency.</w:t>
      </w:r>
      <w:r w:rsidR="00B2582F" w:rsidRPr="00662153">
        <w:rPr>
          <w:rFonts w:ascii="Times New Roman" w:hAnsi="Times New Roman" w:cs="Times New Roman"/>
          <w:sz w:val="20"/>
          <w:szCs w:val="20"/>
        </w:rPr>
        <w:t xml:space="preserve"> 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The look through shall be performed until the asset categories, </w:t>
      </w:r>
      <w:r w:rsidR="00AA23C0">
        <w:rPr>
          <w:rFonts w:ascii="Times New Roman" w:hAnsi="Times New Roman" w:cs="Times New Roman"/>
          <w:sz w:val="20"/>
          <w:szCs w:val="20"/>
        </w:rPr>
        <w:t>countr</w:t>
      </w:r>
      <w:r w:rsidR="006D5C47">
        <w:rPr>
          <w:rFonts w:ascii="Times New Roman" w:hAnsi="Times New Roman" w:cs="Times New Roman"/>
          <w:sz w:val="20"/>
          <w:szCs w:val="20"/>
        </w:rPr>
        <w:t>ies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 and currencies</w:t>
      </w:r>
      <w:r w:rsidR="00B2582F">
        <w:rPr>
          <w:rFonts w:ascii="Times New Roman" w:hAnsi="Times New Roman" w:cs="Times New Roman"/>
          <w:sz w:val="20"/>
          <w:szCs w:val="20"/>
        </w:rPr>
        <w:t xml:space="preserve"> are identified.</w:t>
      </w:r>
      <w:r w:rsidR="004356C8">
        <w:rPr>
          <w:rFonts w:ascii="Times New Roman" w:hAnsi="Times New Roman" w:cs="Times New Roman"/>
          <w:sz w:val="20"/>
          <w:szCs w:val="20"/>
        </w:rPr>
        <w:t xml:space="preserve"> </w:t>
      </w:r>
      <w:r w:rsidR="00AA23C0" w:rsidRPr="00470B03">
        <w:rPr>
          <w:rFonts w:ascii="Times New Roman" w:hAnsi="Times New Roman" w:cs="Times New Roman"/>
          <w:sz w:val="20"/>
          <w:szCs w:val="20"/>
        </w:rPr>
        <w:t>In case of funds of funds the look</w:t>
      </w:r>
      <w:r w:rsidR="004356C8">
        <w:rPr>
          <w:rFonts w:ascii="Times New Roman" w:hAnsi="Times New Roman" w:cs="Times New Roman"/>
          <w:sz w:val="20"/>
          <w:szCs w:val="20"/>
        </w:rPr>
        <w:t>-</w:t>
      </w:r>
      <w:r w:rsidR="00AA23C0" w:rsidRPr="00470B03">
        <w:rPr>
          <w:rFonts w:ascii="Times New Roman" w:hAnsi="Times New Roman" w:cs="Times New Roman"/>
          <w:sz w:val="20"/>
          <w:szCs w:val="20"/>
        </w:rPr>
        <w:t xml:space="preserve">through shall follow the </w:t>
      </w:r>
      <w:r w:rsidR="006D5C47">
        <w:rPr>
          <w:rFonts w:ascii="Times New Roman" w:hAnsi="Times New Roman" w:cs="Times New Roman"/>
          <w:sz w:val="20"/>
          <w:szCs w:val="20"/>
        </w:rPr>
        <w:t xml:space="preserve">same </w:t>
      </w:r>
      <w:r w:rsidR="00AA23C0" w:rsidRPr="00470B03">
        <w:rPr>
          <w:rFonts w:ascii="Times New Roman" w:hAnsi="Times New Roman" w:cs="Times New Roman"/>
          <w:sz w:val="20"/>
          <w:szCs w:val="20"/>
        </w:rPr>
        <w:t>approach</w:t>
      </w:r>
      <w:r w:rsidR="006D5C47">
        <w:rPr>
          <w:rFonts w:ascii="Times New Roman" w:hAnsi="Times New Roman" w:cs="Times New Roman"/>
          <w:sz w:val="20"/>
          <w:szCs w:val="20"/>
        </w:rPr>
        <w:t>.</w:t>
      </w:r>
    </w:p>
    <w:p w:rsidR="00322EE6" w:rsidRPr="006D7451" w:rsidRDefault="00322EE6" w:rsidP="00322EE6">
      <w:pPr>
        <w:jc w:val="both"/>
        <w:rPr>
          <w:rFonts w:ascii="Times New Roman" w:hAnsi="Times New Roman" w:cs="Times New Roman"/>
          <w:sz w:val="20"/>
          <w:szCs w:val="20"/>
        </w:rPr>
      </w:pPr>
      <w:r w:rsidRPr="006D7451">
        <w:rPr>
          <w:rFonts w:ascii="Times New Roman" w:hAnsi="Times New Roman" w:cs="Times New Roman"/>
          <w:sz w:val="20"/>
          <w:szCs w:val="20"/>
        </w:rPr>
        <w:t xml:space="preserve">For the identification of countries the look-through should be implemented in order to identify all countries that represent more than 5% of the fund and until the countries corresponding to 90% of the fund are identified, i.e. regardless of the 90% criteria all countries that represent more than 5% of the fund have to be reported. </w:t>
      </w:r>
    </w:p>
    <w:p w:rsidR="007A1088" w:rsidRDefault="006D5C47" w:rsidP="00B2582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Quarterly i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nformation shall only be reported when the ratio of collective investments undertakings held by the </w:t>
      </w:r>
      <w:r w:rsidR="00521FE7">
        <w:rPr>
          <w:rFonts w:ascii="Times New Roman" w:hAnsi="Times New Roman" w:cs="Times New Roman"/>
          <w:sz w:val="20"/>
          <w:szCs w:val="20"/>
        </w:rPr>
        <w:t>group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to total</w:t>
      </w:r>
      <w:bookmarkStart w:id="0" w:name="_GoBack"/>
      <w:bookmarkEnd w:id="0"/>
      <w:r w:rsidR="007A1088" w:rsidRPr="00662153">
        <w:rPr>
          <w:rFonts w:ascii="Times New Roman" w:hAnsi="Times New Roman" w:cs="Times New Roman"/>
          <w:sz w:val="20"/>
          <w:szCs w:val="20"/>
        </w:rPr>
        <w:t xml:space="preserve"> investments, measured as the ratio between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C0010/R0180 of </w:t>
      </w:r>
      <w:r w:rsidR="004335A6">
        <w:rPr>
          <w:rFonts w:ascii="Times New Roman" w:hAnsi="Times New Roman" w:cs="Times New Roman"/>
          <w:sz w:val="20"/>
          <w:szCs w:val="20"/>
        </w:rPr>
        <w:t xml:space="preserve">template 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S.02.01 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C0010/R0220 of </w:t>
      </w:r>
      <w:r w:rsidR="004335A6" w:rsidRPr="004335A6">
        <w:rPr>
          <w:rFonts w:ascii="Times New Roman" w:hAnsi="Times New Roman" w:cs="Times New Roman"/>
          <w:sz w:val="20"/>
          <w:szCs w:val="20"/>
        </w:rPr>
        <w:t xml:space="preserve">template 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S.02.01 </w:t>
      </w:r>
      <w:r w:rsidR="009B0173" w:rsidRPr="00662153">
        <w:rPr>
          <w:rFonts w:ascii="Times New Roman" w:hAnsi="Times New Roman" w:cs="Times New Roman"/>
          <w:sz w:val="20"/>
          <w:szCs w:val="20"/>
        </w:rPr>
        <w:t xml:space="preserve">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9B0173" w:rsidRPr="00662153">
        <w:rPr>
          <w:rFonts w:ascii="Times New Roman" w:hAnsi="Times New Roman" w:cs="Times New Roman"/>
          <w:sz w:val="20"/>
          <w:szCs w:val="20"/>
        </w:rPr>
        <w:t xml:space="preserve"> C0010/R0090 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and the sum of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C0010/R0070 and C0010/RC0220 of </w:t>
      </w:r>
      <w:r w:rsidR="004335A6" w:rsidRPr="004335A6">
        <w:rPr>
          <w:rFonts w:ascii="Times New Roman" w:hAnsi="Times New Roman" w:cs="Times New Roman"/>
          <w:sz w:val="20"/>
          <w:szCs w:val="20"/>
        </w:rPr>
        <w:t xml:space="preserve">template </w:t>
      </w:r>
      <w:r w:rsidR="007A1088" w:rsidRPr="00662153">
        <w:rPr>
          <w:rFonts w:ascii="Times New Roman" w:hAnsi="Times New Roman" w:cs="Times New Roman"/>
          <w:sz w:val="20"/>
          <w:szCs w:val="20"/>
        </w:rPr>
        <w:t>S.02.01, is higher than 30%</w:t>
      </w:r>
      <w:r>
        <w:rPr>
          <w:rFonts w:ascii="Times New Roman" w:hAnsi="Times New Roman" w:cs="Times New Roman"/>
          <w:sz w:val="20"/>
          <w:szCs w:val="20"/>
        </w:rPr>
        <w:t>.</w:t>
      </w:r>
      <w:r w:rsidR="00563C6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563C6C" w:rsidRPr="00563C6C">
        <w:rPr>
          <w:rFonts w:ascii="Times New Roman" w:hAnsi="Times New Roman" w:cs="Times New Roman"/>
          <w:sz w:val="20"/>
          <w:szCs w:val="20"/>
        </w:rPr>
        <w:t>when</w:t>
      </w:r>
      <w:proofErr w:type="gramEnd"/>
      <w:r w:rsidR="00563C6C" w:rsidRPr="00563C6C">
        <w:rPr>
          <w:rFonts w:ascii="Times New Roman" w:hAnsi="Times New Roman" w:cs="Times New Roman"/>
          <w:sz w:val="20"/>
          <w:szCs w:val="20"/>
        </w:rPr>
        <w:t xml:space="preserve"> method 1 as defined in Article 230 of Directive 2009/138/EC is used exclusively. When method 1 is used in combination with method 2 as defined in Article 233 of Directive 2009/138/EC or method 2 is used exclusively the ratio needs to be adjusted in order to capture the items of all entities included in the scope of template S.06.02</w:t>
      </w:r>
    </w:p>
    <w:p w:rsidR="008C564C" w:rsidRPr="009B0173" w:rsidRDefault="008C564C" w:rsidP="00B2582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Items shall be reported with positive values unless otherwise stated in the respective instructions.</w:t>
      </w:r>
    </w:p>
    <w:p w:rsidR="00DA21CC" w:rsidRDefault="00DA21CC" w:rsidP="00DA21CC">
      <w:pPr>
        <w:jc w:val="both"/>
        <w:rPr>
          <w:rFonts w:ascii="Times New Roman" w:hAnsi="Times New Roman" w:cs="Times New Roman"/>
          <w:sz w:val="20"/>
          <w:szCs w:val="20"/>
        </w:rPr>
      </w:pPr>
      <w:r w:rsidRPr="00662153">
        <w:rPr>
          <w:rFonts w:ascii="Times New Roman" w:hAnsi="Times New Roman" w:cs="Times New Roman"/>
          <w:bCs/>
          <w:sz w:val="20"/>
          <w:szCs w:val="20"/>
        </w:rPr>
        <w:t>The asset categories referred to in this template are the ones defined in Annex I</w:t>
      </w:r>
      <w:r w:rsidR="004335A6">
        <w:rPr>
          <w:rFonts w:ascii="Times New Roman" w:hAnsi="Times New Roman" w:cs="Times New Roman"/>
          <w:bCs/>
          <w:sz w:val="20"/>
          <w:szCs w:val="20"/>
        </w:rPr>
        <w:t>V</w:t>
      </w:r>
      <w:r w:rsidRPr="0066215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A169E">
        <w:rPr>
          <w:rFonts w:ascii="Times New Roman" w:hAnsi="Times New Roman" w:cs="Times New Roman"/>
          <w:bCs/>
          <w:sz w:val="20"/>
          <w:szCs w:val="20"/>
        </w:rPr>
        <w:t>-</w:t>
      </w:r>
      <w:r w:rsidRPr="0066215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D5C47" w:rsidRPr="006D5C47">
        <w:rPr>
          <w:rFonts w:ascii="Times New Roman" w:hAnsi="Times New Roman" w:cs="Times New Roman"/>
          <w:bCs/>
          <w:sz w:val="20"/>
          <w:szCs w:val="20"/>
        </w:rPr>
        <w:t>Assets</w:t>
      </w:r>
      <w:r w:rsidRPr="00662153">
        <w:rPr>
          <w:rFonts w:ascii="Times New Roman" w:hAnsi="Times New Roman" w:cs="Times New Roman"/>
          <w:bCs/>
          <w:sz w:val="20"/>
          <w:szCs w:val="20"/>
        </w:rPr>
        <w:t xml:space="preserve"> Categories of this Regulation and </w:t>
      </w:r>
      <w:r w:rsidRPr="00662153">
        <w:rPr>
          <w:rFonts w:ascii="Times New Roman" w:hAnsi="Times New Roman" w:cs="Times New Roman"/>
          <w:sz w:val="20"/>
          <w:szCs w:val="20"/>
        </w:rPr>
        <w:t xml:space="preserve">references to CIC codes refer to Annex V </w:t>
      </w:r>
      <w:r w:rsidR="007A169E">
        <w:rPr>
          <w:rFonts w:ascii="Times New Roman" w:hAnsi="Times New Roman" w:cs="Times New Roman"/>
          <w:sz w:val="20"/>
          <w:szCs w:val="20"/>
        </w:rPr>
        <w:t>-</w:t>
      </w:r>
      <w:r w:rsidR="006D5C47" w:rsidRPr="00662153">
        <w:rPr>
          <w:rFonts w:ascii="Times New Roman" w:hAnsi="Times New Roman" w:cs="Times New Roman"/>
          <w:sz w:val="20"/>
          <w:szCs w:val="20"/>
        </w:rPr>
        <w:t xml:space="preserve"> CIC table </w:t>
      </w:r>
      <w:r w:rsidRPr="00662153">
        <w:rPr>
          <w:rFonts w:ascii="Times New Roman" w:hAnsi="Times New Roman" w:cs="Times New Roman"/>
          <w:sz w:val="20"/>
          <w:szCs w:val="20"/>
        </w:rPr>
        <w:t>of this Regulation.</w:t>
      </w:r>
    </w:p>
    <w:p w:rsidR="00A579B8" w:rsidRPr="00C07925" w:rsidRDefault="00185606">
      <w:pPr>
        <w:jc w:val="both"/>
        <w:rPr>
          <w:rFonts w:ascii="Times New Roman" w:hAnsi="Times New Roman" w:cs="Times New Roman"/>
          <w:sz w:val="20"/>
          <w:szCs w:val="20"/>
        </w:rPr>
      </w:pPr>
      <w:r w:rsidRPr="00C07925">
        <w:rPr>
          <w:rFonts w:ascii="Times New Roman" w:hAnsi="Times New Roman" w:cs="Times New Roman"/>
          <w:sz w:val="20"/>
          <w:szCs w:val="20"/>
        </w:rPr>
        <w:t xml:space="preserve">This template shall include the look-through of all collective investment undertakings, or investments packaged as funds and similar undertakings, </w:t>
      </w:r>
      <w:r w:rsidRPr="006D7451">
        <w:rPr>
          <w:rFonts w:ascii="Times New Roman" w:hAnsi="Times New Roman" w:cs="Times New Roman"/>
          <w:sz w:val="20"/>
          <w:szCs w:val="20"/>
        </w:rPr>
        <w:t>including when they are participations by underlying asset category</w:t>
      </w:r>
      <w:r w:rsidR="000E5DE1" w:rsidRPr="006D7451">
        <w:rPr>
          <w:rFonts w:ascii="Times New Roman" w:hAnsi="Times New Roman" w:cs="Times New Roman"/>
          <w:sz w:val="20"/>
          <w:szCs w:val="20"/>
        </w:rPr>
        <w:t>,</w:t>
      </w:r>
      <w:r w:rsidRPr="00C07925">
        <w:rPr>
          <w:rFonts w:ascii="Times New Roman" w:hAnsi="Times New Roman" w:cs="Times New Roman"/>
          <w:sz w:val="20"/>
          <w:szCs w:val="20"/>
        </w:rPr>
        <w:t xml:space="preserve"> reported item-by-item in S.06.02.</w:t>
      </w:r>
      <w:r w:rsidR="000E5DE1" w:rsidRPr="00C07925">
        <w:rPr>
          <w:rFonts w:ascii="Times New Roman" w:hAnsi="Times New Roman" w:cs="Times New Roman"/>
          <w:sz w:val="20"/>
          <w:szCs w:val="20"/>
        </w:rPr>
        <w:t xml:space="preserve"> I</w:t>
      </w:r>
      <w:r w:rsidR="00A579B8" w:rsidRPr="006D7451">
        <w:rPr>
          <w:rFonts w:ascii="Times New Roman" w:hAnsi="Times New Roman" w:cs="Times New Roman"/>
          <w:sz w:val="20"/>
          <w:szCs w:val="20"/>
        </w:rPr>
        <w:t xml:space="preserve">f </w:t>
      </w:r>
      <w:r w:rsidR="000E5DE1" w:rsidRPr="006D7451">
        <w:rPr>
          <w:rFonts w:ascii="Times New Roman" w:hAnsi="Times New Roman" w:cs="Times New Roman"/>
          <w:sz w:val="20"/>
          <w:szCs w:val="20"/>
        </w:rPr>
        <w:t>one collective investment undertakings, or investments packaged as funds and similar undertakings</w:t>
      </w:r>
      <w:r w:rsidR="00A579B8" w:rsidRPr="006D7451">
        <w:rPr>
          <w:rFonts w:ascii="Times New Roman" w:hAnsi="Times New Roman" w:cs="Times New Roman"/>
          <w:sz w:val="20"/>
          <w:szCs w:val="20"/>
        </w:rPr>
        <w:t xml:space="preserve"> is held by many </w:t>
      </w:r>
      <w:r w:rsidR="000E5DE1" w:rsidRPr="006D7451">
        <w:rPr>
          <w:rFonts w:ascii="Times New Roman" w:hAnsi="Times New Roman" w:cs="Times New Roman"/>
          <w:sz w:val="20"/>
          <w:szCs w:val="20"/>
        </w:rPr>
        <w:t xml:space="preserve">undertakings, in this template it shall </w:t>
      </w:r>
      <w:r w:rsidR="00A579B8" w:rsidRPr="006D7451">
        <w:rPr>
          <w:rFonts w:ascii="Times New Roman" w:hAnsi="Times New Roman" w:cs="Times New Roman"/>
          <w:sz w:val="20"/>
          <w:szCs w:val="20"/>
        </w:rPr>
        <w:t xml:space="preserve">be reported only once.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1321"/>
        <w:gridCol w:w="6509"/>
      </w:tblGrid>
      <w:tr w:rsidR="006D7451" w:rsidRPr="008A2E61" w:rsidTr="00662153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07F" w:rsidRPr="006D7451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662153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ITEM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662153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INSTRUCTIONS</w:t>
            </w:r>
          </w:p>
        </w:tc>
      </w:tr>
      <w:tr w:rsidR="006D7451" w:rsidRPr="008A2E61" w:rsidTr="00662153">
        <w:trPr>
          <w:trHeight w:val="153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090" w:rsidRPr="00662153" w:rsidRDefault="005864A1" w:rsidP="006D7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621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1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4B9" w:rsidRPr="00662153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D54B9" w:rsidRPr="00662153" w:rsidRDefault="00630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ID code </w:t>
            </w:r>
            <w:r w:rsidRPr="00662153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</w:t>
            </w:r>
            <w:r w:rsidR="00642C8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</w:t>
            </w:r>
            <w:r w:rsidR="00A409A7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t>, when the options above are not available, and must be consistent over time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D7451" w:rsidRPr="008A2E61" w:rsidTr="006D7451">
        <w:trPr>
          <w:trHeight w:val="4091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90" w:rsidRPr="00662153" w:rsidRDefault="005B0493" w:rsidP="006D7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lastRenderedPageBreak/>
              <w:t>C00</w:t>
            </w:r>
            <w:r w:rsidR="00621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2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493" w:rsidRPr="00662153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 type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493" w:rsidRPr="0016200C" w:rsidRDefault="005B0493" w:rsidP="00662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ID Code” item. One of the options in the following closed list shall be used: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1 - ISO/6166 for ISIN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5269" w:rsidRPr="00645269">
              <w:rPr>
                <w:rFonts w:ascii="Times New Roman" w:hAnsi="Times New Roman" w:cs="Times New Roman"/>
                <w:sz w:val="20"/>
                <w:szCs w:val="20"/>
              </w:rPr>
              <w:t>WKN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Wertpapier</w:t>
            </w:r>
            <w:proofErr w:type="spellEnd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Kenn-</w:t>
            </w:r>
            <w:r w:rsidR="004335A6" w:rsidRPr="00C91B92">
              <w:rPr>
                <w:rFonts w:ascii="Times New Roman" w:hAnsi="Times New Roman" w:cs="Times New Roman"/>
                <w:sz w:val="20"/>
                <w:szCs w:val="20"/>
              </w:rPr>
              <w:t>Num</w:t>
            </w:r>
            <w:r w:rsidR="004335A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335A6" w:rsidRPr="00C91B92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proofErr w:type="spellEnd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, the alphanumeric German identification number)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5B0493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66215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212AF0" w:rsidRPr="006D7451" w:rsidRDefault="00212AF0" w:rsidP="006D74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8 – </w:t>
            </w:r>
            <w:r w:rsidRPr="006D7451">
              <w:rPr>
                <w:rFonts w:ascii="Times New Roman" w:hAnsi="Times New Roman" w:cs="Times New Roman"/>
                <w:sz w:val="20"/>
                <w:szCs w:val="20"/>
              </w:rPr>
              <w:t>FIGI (Financial Instrument Global Identifier)</w:t>
            </w:r>
          </w:p>
          <w:p w:rsidR="005B0493" w:rsidRPr="00C91B92" w:rsidRDefault="00212AF0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B0493"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B0493"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 National Numbering Agencies</w:t>
            </w:r>
          </w:p>
          <w:p w:rsidR="005B0493" w:rsidRPr="00662153" w:rsidRDefault="00212AF0" w:rsidP="00E00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B0493">
              <w:rPr>
                <w:rFonts w:ascii="Times New Roman" w:hAnsi="Times New Roman" w:cs="Times New Roman"/>
                <w:sz w:val="20"/>
                <w:szCs w:val="20"/>
              </w:rPr>
              <w:t>9 - C</w:t>
            </w:r>
            <w:r w:rsidR="005B0493"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ode attributed by the </w:t>
            </w:r>
            <w:r w:rsidR="00A409A7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 w:rsidR="005B04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D7451" w:rsidRPr="008A2E61" w:rsidTr="006D7451">
        <w:trPr>
          <w:trHeight w:val="346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90" w:rsidRPr="00662153" w:rsidRDefault="005864A1" w:rsidP="006D7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621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3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Underlying asset category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93F" w:rsidRPr="00662153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Identify the assets categories</w:t>
            </w:r>
            <w:r w:rsidR="00433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, receivables and derivatives </w:t>
            </w:r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within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the </w:t>
            </w:r>
            <w:r w:rsidR="00ED08A2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642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. One of the options in the following closed list shall be used: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</w:r>
            <w:r w:rsidR="00B2093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B2093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Government bonds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Corporate bonds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</w:t>
            </w:r>
            <w:r w:rsidR="001C1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Listed equity</w:t>
            </w:r>
          </w:p>
          <w:p w:rsidR="00A72373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3X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="00A72373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Unlisted equity</w:t>
            </w:r>
          </w:p>
          <w:p w:rsidR="00A72373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="00A72373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Collective Investment Un</w:t>
            </w:r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dertakings</w:t>
            </w:r>
          </w:p>
          <w:p w:rsidR="00A72373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5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Structured notes</w:t>
            </w:r>
          </w:p>
          <w:p w:rsidR="00A72373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6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A72373" w:rsidRPr="007A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Collateralised securities</w:t>
            </w:r>
          </w:p>
          <w:p w:rsidR="00A72373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7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E03021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Cash and deposits</w:t>
            </w:r>
          </w:p>
          <w:p w:rsidR="00E03021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8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E03021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Mortgages and loans</w:t>
            </w:r>
          </w:p>
          <w:p w:rsidR="00E03021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9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883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="00E03021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Properties</w:t>
            </w:r>
          </w:p>
          <w:p w:rsidR="00E03021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E03021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Other investments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(</w:t>
            </w:r>
            <w:r w:rsidRPr="00A36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including receivables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)</w:t>
            </w:r>
          </w:p>
          <w:p w:rsidR="008C564C" w:rsidRDefault="008C564C" w:rsidP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 – Futures</w:t>
            </w:r>
          </w:p>
          <w:p w:rsidR="008C564C" w:rsidRDefault="008C564C" w:rsidP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B – Call Options</w:t>
            </w:r>
          </w:p>
          <w:p w:rsidR="008C564C" w:rsidRDefault="008C564C" w:rsidP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 – Put Options</w:t>
            </w:r>
          </w:p>
          <w:p w:rsidR="008C564C" w:rsidRDefault="008C564C" w:rsidP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 – Swaps</w:t>
            </w:r>
          </w:p>
          <w:p w:rsidR="008C564C" w:rsidRDefault="008C564C" w:rsidP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E – Forwards</w:t>
            </w:r>
          </w:p>
          <w:p w:rsidR="008C564C" w:rsidRPr="003F035B" w:rsidRDefault="008C564C" w:rsidP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 – Credit derivatives</w:t>
            </w:r>
          </w:p>
          <w:p w:rsidR="008C564C" w:rsidRPr="003F035B" w:rsidRDefault="008C564C" w:rsidP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 Liabilities</w:t>
            </w:r>
          </w:p>
          <w:p w:rsidR="006E3046" w:rsidRDefault="006E3046" w:rsidP="006E3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n-US" w:eastAsia="pt-PT"/>
              </w:rPr>
            </w:pPr>
          </w:p>
          <w:p w:rsidR="00FC307F" w:rsidRPr="00662153" w:rsidRDefault="008C564C" w:rsidP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When the look-through regards a Fund of funds, c</w:t>
            </w:r>
            <w:r w:rsidR="006E3046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ategory “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6E3046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- Collective Investment Units” </w:t>
            </w:r>
            <w:r w:rsid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shall</w:t>
            </w:r>
            <w:r w:rsidR="006E3046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be used only for non-material residual values.</w:t>
            </w:r>
          </w:p>
        </w:tc>
      </w:tr>
      <w:tr w:rsidR="006D7451" w:rsidRPr="008A2E61" w:rsidTr="006D7451">
        <w:trPr>
          <w:trHeight w:val="629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90" w:rsidRPr="00662153" w:rsidRDefault="005864A1" w:rsidP="006D7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621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4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C963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Country </w:t>
            </w:r>
            <w:r w:rsidR="00FC307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 of issue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BA2" w:rsidRPr="00662153" w:rsidRDefault="00154BA2" w:rsidP="00662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Breakdown of each asset category identified in C00</w:t>
            </w:r>
            <w:r w:rsidR="009A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</w:t>
            </w: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 by issuer country</w:t>
            </w:r>
            <w:r w:rsidR="00B374C2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Identify the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country of localisation of the issuer. </w:t>
            </w:r>
          </w:p>
          <w:p w:rsidR="00B374C2" w:rsidRPr="00B374C2" w:rsidRDefault="00B374C2" w:rsidP="00662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BA2" w:rsidRPr="00B374C2" w:rsidRDefault="00154BA2" w:rsidP="00154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>The localisation of the issuer is assessed by the address of the entity issuing the asset.</w:t>
            </w:r>
          </w:p>
          <w:p w:rsidR="004335A6" w:rsidRPr="00621449" w:rsidRDefault="00154BA2" w:rsidP="00EA65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One of the options shall be used: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3166-1 alpha-2 code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XA: Supranational issuers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</w:t>
            </w:r>
            <w:r w:rsidRPr="00621449">
              <w:rPr>
                <w:rFonts w:ascii="Times New Roman" w:hAnsi="Times New Roman" w:cs="Times New Roman"/>
                <w:sz w:val="20"/>
                <w:szCs w:val="20"/>
              </w:rPr>
              <w:t>- EU: European Union Institutions</w:t>
            </w:r>
          </w:p>
          <w:p w:rsidR="00EA65F2" w:rsidRDefault="004335A6" w:rsidP="00433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451">
              <w:rPr>
                <w:rFonts w:ascii="Times New Roman" w:hAnsi="Times New Roman" w:cs="Times New Roman"/>
                <w:sz w:val="20"/>
                <w:szCs w:val="20"/>
              </w:rPr>
              <w:t xml:space="preserve">  - </w:t>
            </w:r>
            <w:r w:rsidR="00EA65F2" w:rsidRPr="006D7451">
              <w:rPr>
                <w:rFonts w:ascii="Times New Roman" w:hAnsi="Times New Roman" w:cs="Times New Roman"/>
                <w:sz w:val="20"/>
                <w:szCs w:val="20"/>
              </w:rPr>
              <w:t>AA: aggregated countries due to application of threshold</w:t>
            </w:r>
          </w:p>
          <w:p w:rsidR="004335A6" w:rsidRDefault="004335A6" w:rsidP="00433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F2" w:rsidRPr="007A169E" w:rsidRDefault="004335A6" w:rsidP="00152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889">
              <w:rPr>
                <w:rFonts w:ascii="Times New Roman" w:hAnsi="Times New Roman" w:cs="Times New Roman"/>
                <w:sz w:val="20"/>
                <w:szCs w:val="20"/>
              </w:rPr>
              <w:t>This item is not applicable to Categories 8 and 9 as reported in C00</w:t>
            </w:r>
            <w:r w:rsidR="001525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73889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</w:tr>
      <w:tr w:rsidR="006D7451" w:rsidRPr="008A2E61" w:rsidTr="007A169E">
        <w:trPr>
          <w:trHeight w:val="1423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090" w:rsidRPr="00662153" w:rsidRDefault="005864A1" w:rsidP="006D7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lastRenderedPageBreak/>
              <w:t>C00</w:t>
            </w:r>
            <w:r w:rsidR="00621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5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Currency 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154BA2" w:rsidP="0043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Identify whether the currency of the asset category is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the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or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a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foreign currency. All other currencies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than the reporting currency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are referred to as foreign currencies. One of the options in the following closed list shall be used: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1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2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Foreign currency</w:t>
            </w:r>
          </w:p>
        </w:tc>
      </w:tr>
      <w:tr w:rsidR="006D7451" w:rsidRPr="008A2E61" w:rsidTr="005B0493">
        <w:trPr>
          <w:trHeight w:val="102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90" w:rsidRPr="00662153" w:rsidRDefault="005864A1" w:rsidP="006D7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621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6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Total amount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CBF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Total amount invested by asset category, </w:t>
            </w:r>
            <w:r w:rsidR="00C96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country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and currency through </w:t>
            </w:r>
            <w:r w:rsidR="00ED08A2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823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undertakings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</w:t>
            </w:r>
          </w:p>
          <w:p w:rsidR="00850090" w:rsidRPr="00662153" w:rsidRDefault="008500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  <w:p w:rsidR="00FC307F" w:rsidRDefault="00FC307F" w:rsidP="00EA6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 liabilities a </w:t>
            </w:r>
            <w:r w:rsidR="00424CB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positive 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amount shall be reported.</w:t>
            </w:r>
          </w:p>
          <w:p w:rsidR="004335A6" w:rsidRDefault="004335A6" w:rsidP="00EA6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  <w:p w:rsidR="00EA65F2" w:rsidRPr="00662153" w:rsidRDefault="00EA65F2" w:rsidP="00EA6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For derivatives the Total amount can be positive</w:t>
            </w:r>
            <w:r w:rsidR="00433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(if an asset)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or negative</w:t>
            </w:r>
            <w:r w:rsidR="00433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(if a liability)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.</w:t>
            </w:r>
          </w:p>
        </w:tc>
      </w:tr>
    </w:tbl>
    <w:p w:rsidR="008534DC" w:rsidRPr="00662153" w:rsidRDefault="008534DC">
      <w:pPr>
        <w:rPr>
          <w:rFonts w:ascii="Times New Roman" w:hAnsi="Times New Roman" w:cs="Times New Roman"/>
          <w:sz w:val="20"/>
          <w:szCs w:val="20"/>
        </w:rPr>
      </w:pPr>
    </w:p>
    <w:sectPr w:rsidR="008534DC" w:rsidRPr="006621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0AE0"/>
    <w:multiLevelType w:val="hybridMultilevel"/>
    <w:tmpl w:val="BDFAA81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86814"/>
    <w:multiLevelType w:val="hybridMultilevel"/>
    <w:tmpl w:val="F0C2F5AC"/>
    <w:lvl w:ilvl="0" w:tplc="CB90FDE2">
      <w:start w:val="1"/>
      <w:numFmt w:val="lowerLetter"/>
      <w:lvlText w:val="%1."/>
      <w:lvlJc w:val="left"/>
      <w:pPr>
        <w:tabs>
          <w:tab w:val="num" w:pos="1833"/>
        </w:tabs>
        <w:ind w:left="1833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83E5862">
      <w:start w:val="1"/>
      <w:numFmt w:val="lowerLetter"/>
      <w:lvlText w:val="%4)"/>
      <w:lvlJc w:val="left"/>
      <w:pPr>
        <w:ind w:left="28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C6999"/>
    <w:multiLevelType w:val="hybridMultilevel"/>
    <w:tmpl w:val="FA3ED67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EE26A1"/>
    <w:multiLevelType w:val="hybridMultilevel"/>
    <w:tmpl w:val="B3601DCA"/>
    <w:lvl w:ilvl="0" w:tplc="9398B50A">
      <w:start w:val="4"/>
      <w:numFmt w:val="bullet"/>
      <w:lvlText w:val="-"/>
      <w:lvlJc w:val="left"/>
      <w:pPr>
        <w:ind w:left="465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7046102A"/>
    <w:multiLevelType w:val="hybridMultilevel"/>
    <w:tmpl w:val="FBA8E7C0"/>
    <w:lvl w:ilvl="0" w:tplc="F2428DD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C307F"/>
    <w:rsid w:val="00003A05"/>
    <w:rsid w:val="000E2C43"/>
    <w:rsid w:val="000E5DE1"/>
    <w:rsid w:val="00152541"/>
    <w:rsid w:val="00154BA2"/>
    <w:rsid w:val="00185606"/>
    <w:rsid w:val="001C1B14"/>
    <w:rsid w:val="00211074"/>
    <w:rsid w:val="00212AF0"/>
    <w:rsid w:val="00235C09"/>
    <w:rsid w:val="00322EE6"/>
    <w:rsid w:val="003D5B75"/>
    <w:rsid w:val="003F3240"/>
    <w:rsid w:val="00405DB2"/>
    <w:rsid w:val="00424CBF"/>
    <w:rsid w:val="004335A6"/>
    <w:rsid w:val="004356C8"/>
    <w:rsid w:val="00450EEB"/>
    <w:rsid w:val="0046496C"/>
    <w:rsid w:val="004D22EF"/>
    <w:rsid w:val="004E7E27"/>
    <w:rsid w:val="00521FE7"/>
    <w:rsid w:val="00563C6C"/>
    <w:rsid w:val="005864A1"/>
    <w:rsid w:val="005B0493"/>
    <w:rsid w:val="005D06B0"/>
    <w:rsid w:val="0061011A"/>
    <w:rsid w:val="00621449"/>
    <w:rsid w:val="00622B19"/>
    <w:rsid w:val="006245EA"/>
    <w:rsid w:val="00630F62"/>
    <w:rsid w:val="00642C84"/>
    <w:rsid w:val="00645269"/>
    <w:rsid w:val="00662153"/>
    <w:rsid w:val="00665F9C"/>
    <w:rsid w:val="006677C7"/>
    <w:rsid w:val="00677C0E"/>
    <w:rsid w:val="006D5C47"/>
    <w:rsid w:val="006D62FC"/>
    <w:rsid w:val="006D7451"/>
    <w:rsid w:val="006E3046"/>
    <w:rsid w:val="00707EB4"/>
    <w:rsid w:val="007143D2"/>
    <w:rsid w:val="007321E3"/>
    <w:rsid w:val="0073364C"/>
    <w:rsid w:val="007A1088"/>
    <w:rsid w:val="007A169E"/>
    <w:rsid w:val="007E3B5D"/>
    <w:rsid w:val="007F54FA"/>
    <w:rsid w:val="0082333E"/>
    <w:rsid w:val="00850090"/>
    <w:rsid w:val="008534DC"/>
    <w:rsid w:val="00883AE2"/>
    <w:rsid w:val="00893F85"/>
    <w:rsid w:val="008A2E61"/>
    <w:rsid w:val="008A3427"/>
    <w:rsid w:val="008C564C"/>
    <w:rsid w:val="0094172F"/>
    <w:rsid w:val="00972587"/>
    <w:rsid w:val="009A5B47"/>
    <w:rsid w:val="009B0173"/>
    <w:rsid w:val="00A00792"/>
    <w:rsid w:val="00A13B5C"/>
    <w:rsid w:val="00A409A7"/>
    <w:rsid w:val="00A579B8"/>
    <w:rsid w:val="00A70A2A"/>
    <w:rsid w:val="00A72373"/>
    <w:rsid w:val="00A81E21"/>
    <w:rsid w:val="00AA23C0"/>
    <w:rsid w:val="00AE5C0A"/>
    <w:rsid w:val="00B01E63"/>
    <w:rsid w:val="00B2093F"/>
    <w:rsid w:val="00B2582F"/>
    <w:rsid w:val="00B374C2"/>
    <w:rsid w:val="00BB0B24"/>
    <w:rsid w:val="00C07925"/>
    <w:rsid w:val="00C96390"/>
    <w:rsid w:val="00CA1C89"/>
    <w:rsid w:val="00CD54B9"/>
    <w:rsid w:val="00D45F7F"/>
    <w:rsid w:val="00DA21CC"/>
    <w:rsid w:val="00DD58DE"/>
    <w:rsid w:val="00E03021"/>
    <w:rsid w:val="00E644F1"/>
    <w:rsid w:val="00E71CA2"/>
    <w:rsid w:val="00E87BC6"/>
    <w:rsid w:val="00EA65F2"/>
    <w:rsid w:val="00ED08A2"/>
    <w:rsid w:val="00ED34AB"/>
    <w:rsid w:val="00EE59A8"/>
    <w:rsid w:val="00EF6EC4"/>
    <w:rsid w:val="00F619F2"/>
    <w:rsid w:val="00F92780"/>
    <w:rsid w:val="00FC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3F324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3F324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2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3F4F2FA1-4CB2-43A2-8939-ECF7D8764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ISP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Pinto de Sá</dc:creator>
  <cp:lastModifiedBy>ATM</cp:lastModifiedBy>
  <cp:revision>7</cp:revision>
  <dcterms:created xsi:type="dcterms:W3CDTF">2015-07-01T08:51:00Z</dcterms:created>
  <dcterms:modified xsi:type="dcterms:W3CDTF">2015-08-21T10:20:00Z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